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楷体_GB2312" w:eastAsia="楷体_GB2312"/>
          <w:b/>
          <w:sz w:val="28"/>
          <w:szCs w:val="28"/>
        </w:rPr>
      </w:pPr>
    </w:p>
    <w:p>
      <w:pPr>
        <w:spacing w:line="400" w:lineRule="exact"/>
        <w:jc w:val="center"/>
        <w:rPr>
          <w:rFonts w:ascii="楷体_GB2312" w:eastAsia="楷体_GB2312"/>
          <w:b/>
          <w:sz w:val="28"/>
          <w:szCs w:val="28"/>
        </w:rPr>
      </w:pPr>
    </w:p>
    <w:p>
      <w:pPr>
        <w:spacing w:line="400" w:lineRule="exact"/>
        <w:jc w:val="center"/>
        <w:rPr>
          <w:rFonts w:ascii="楷体_GB2312" w:eastAsia="楷体_GB2312"/>
          <w:b/>
          <w:sz w:val="28"/>
          <w:szCs w:val="28"/>
        </w:rPr>
      </w:pPr>
      <w:r>
        <w:rPr>
          <w:rFonts w:hint="eastAsia" w:ascii="楷体_GB2312" w:eastAsia="楷体_GB2312"/>
          <w:b/>
          <w:sz w:val="28"/>
          <w:szCs w:val="28"/>
        </w:rPr>
        <w:t>202</w:t>
      </w:r>
      <w:r>
        <w:rPr>
          <w:rFonts w:hint="eastAsia" w:ascii="楷体_GB2312" w:eastAsia="楷体_GB2312"/>
          <w:b/>
          <w:sz w:val="28"/>
          <w:szCs w:val="28"/>
          <w:lang w:val="en-US" w:eastAsia="zh-CN"/>
        </w:rPr>
        <w:t>5</w:t>
      </w:r>
      <w:r>
        <w:rPr>
          <w:rFonts w:hint="eastAsia" w:ascii="楷体_GB2312" w:eastAsia="楷体_GB2312"/>
          <w:b/>
          <w:sz w:val="28"/>
          <w:szCs w:val="28"/>
        </w:rPr>
        <w:t>年南通大学硕士研究生入学考试复习大纲</w:t>
      </w:r>
    </w:p>
    <w:p>
      <w:pPr>
        <w:spacing w:before="156" w:beforeLines="50" w:line="400" w:lineRule="exact"/>
        <w:rPr>
          <w:rFonts w:ascii="楷体_GB2312" w:eastAsia="楷体_GB2312"/>
          <w:b/>
          <w:sz w:val="18"/>
          <w:szCs w:val="18"/>
        </w:rPr>
      </w:pPr>
      <w:r>
        <w:rPr>
          <w:rFonts w:hint="eastAsia" w:ascii="楷体_GB2312" w:eastAsia="楷体_GB2312"/>
          <w:b/>
          <w:sz w:val="18"/>
          <w:szCs w:val="18"/>
        </w:rPr>
        <w:t>培养单位: 电气</w:t>
      </w:r>
      <w:r>
        <w:rPr>
          <w:rFonts w:hint="eastAsia" w:ascii="楷体_GB2312" w:eastAsia="楷体_GB2312"/>
          <w:b/>
          <w:sz w:val="18"/>
          <w:szCs w:val="18"/>
          <w:lang w:val="en-US" w:eastAsia="zh-CN"/>
        </w:rPr>
        <w:t>与自动化</w:t>
      </w:r>
      <w:r>
        <w:rPr>
          <w:rFonts w:hint="eastAsia" w:ascii="楷体_GB2312" w:eastAsia="楷体_GB2312"/>
          <w:b/>
          <w:sz w:val="18"/>
          <w:szCs w:val="18"/>
        </w:rPr>
        <w:t xml:space="preserve">学院                   </w:t>
      </w:r>
      <w:r>
        <w:rPr>
          <w:rFonts w:hint="eastAsia"/>
          <w:b/>
          <w:sz w:val="18"/>
          <w:szCs w:val="18"/>
        </w:rPr>
        <w:t xml:space="preserve"> 202</w:t>
      </w:r>
      <w:r>
        <w:rPr>
          <w:rFonts w:hint="eastAsia"/>
          <w:b/>
          <w:sz w:val="18"/>
          <w:szCs w:val="18"/>
          <w:lang w:val="en-US" w:eastAsia="zh-CN"/>
        </w:rPr>
        <w:t>4</w:t>
      </w:r>
      <w:bookmarkStart w:id="0" w:name="_GoBack"/>
      <w:bookmarkEnd w:id="0"/>
      <w:r>
        <w:rPr>
          <w:rFonts w:hint="eastAsia"/>
          <w:b/>
          <w:sz w:val="18"/>
          <w:szCs w:val="18"/>
        </w:rPr>
        <w:t xml:space="preserve">年  </w:t>
      </w:r>
      <w:r>
        <w:rPr>
          <w:rFonts w:hint="eastAsia"/>
          <w:b/>
          <w:sz w:val="18"/>
          <w:szCs w:val="18"/>
          <w:lang w:val="en-US" w:eastAsia="zh-CN"/>
        </w:rPr>
        <w:t>6</w:t>
      </w:r>
      <w:r>
        <w:rPr>
          <w:rFonts w:hint="eastAsia"/>
          <w:b/>
          <w:sz w:val="18"/>
          <w:szCs w:val="18"/>
        </w:rPr>
        <w:t>月</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1440"/>
        <w:gridCol w:w="1800"/>
        <w:gridCol w:w="16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科目名称</w:t>
            </w:r>
          </w:p>
        </w:tc>
        <w:tc>
          <w:tcPr>
            <w:tcW w:w="4320" w:type="dxa"/>
            <w:gridSpan w:val="3"/>
            <w:vAlign w:val="center"/>
          </w:tcPr>
          <w:p>
            <w:pPr>
              <w:jc w:val="center"/>
              <w:rPr>
                <w:rFonts w:hint="eastAsia" w:ascii="宋体" w:hAnsi="宋体" w:eastAsia="宋体" w:cs="宋体"/>
                <w:b/>
                <w:sz w:val="18"/>
                <w:szCs w:val="18"/>
              </w:rPr>
            </w:pPr>
            <w:r>
              <w:rPr>
                <w:rFonts w:hint="eastAsia" w:ascii="宋体" w:hAnsi="宋体" w:eastAsia="宋体" w:cs="宋体"/>
                <w:kern w:val="0"/>
                <w:sz w:val="18"/>
                <w:szCs w:val="18"/>
              </w:rPr>
              <w:t>自动控制理论</w:t>
            </w:r>
            <w:r>
              <w:rPr>
                <w:rFonts w:hint="eastAsia" w:ascii="宋体" w:hAnsi="宋体" w:eastAsia="宋体" w:cs="宋体"/>
                <w:color w:val="000000"/>
                <w:sz w:val="18"/>
                <w:szCs w:val="18"/>
              </w:rPr>
              <w:t>(含经典与现代部分)</w:t>
            </w:r>
          </w:p>
        </w:tc>
        <w:tc>
          <w:tcPr>
            <w:tcW w:w="1620"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科目代码</w:t>
            </w:r>
          </w:p>
        </w:tc>
        <w:tc>
          <w:tcPr>
            <w:tcW w:w="1980" w:type="dxa"/>
            <w:gridSpan w:val="2"/>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180" w:type="dxa"/>
            <w:gridSpan w:val="7"/>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考试范围及要点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jc w:val="center"/>
        </w:trPr>
        <w:tc>
          <w:tcPr>
            <w:tcW w:w="9180" w:type="dxa"/>
            <w:gridSpan w:val="7"/>
          </w:tcPr>
          <w:p>
            <w:pPr>
              <w:spacing w:before="156" w:beforeLines="50" w:line="360" w:lineRule="exact"/>
              <w:ind w:firstLine="360" w:firstLineChars="200"/>
              <w:rPr>
                <w:rFonts w:hint="eastAsia" w:ascii="宋体" w:hAnsi="宋体" w:eastAsia="宋体" w:cs="宋体"/>
                <w:kern w:val="0"/>
                <w:sz w:val="18"/>
                <w:szCs w:val="18"/>
              </w:rPr>
            </w:pPr>
            <w:r>
              <w:rPr>
                <w:rFonts w:hint="eastAsia" w:ascii="宋体" w:hAnsi="宋体" w:eastAsia="宋体" w:cs="宋体"/>
                <w:sz w:val="18"/>
                <w:szCs w:val="18"/>
              </w:rPr>
              <w:t>本大纲适用于报考南通大学控制科学与工程学科的硕士研究生入学考试</w:t>
            </w:r>
            <w:r>
              <w:rPr>
                <w:rFonts w:hint="eastAsia" w:ascii="宋体" w:hAnsi="宋体" w:eastAsia="宋体" w:cs="宋体"/>
                <w:kern w:val="0"/>
                <w:sz w:val="18"/>
                <w:szCs w:val="18"/>
              </w:rPr>
              <w:t>。本课程主要考核自动控制理论课程的基本概念、基本理论与基本计算方法。</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一、经典控制理论部分</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1、控制系统的数学模型：了解数学模型的基本概念、表达方式，建模方法。掌握传递函数的概念，用传递函数（或微分方程）与方框图描述系统的方法。重点掌握电气系统、力学系统的建模，方框图的化简（包括用信号流图化简）。</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2、控制系统的时域分析：掌握时域响应及暂态响应的性能指标，线性系统的稳定性定义及稳态误差定义。掌握系统类型判别。重点掌握稳定性判别、稳态误差误差计算及二阶系统（欠阻尼情况下）暂态响应指标（最大超调量、调节时间等）的计算及应用。</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3、线性系统的根轨迹法：熟悉常规根轨迹绘制的基本法则、掌握常规根轨迹绘制方法。了解参数根轨迹与零度根轨迹的基本概念、熟悉参数根轨迹及零度根轨迹绘制方法。了解根轨迹与系统各项性能指标的关系。重点掌握常规根轨迹及参数根轨迹的绘制方法。时滞系统的根轨迹不作要求。</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4、线性系统的频域分析：深刻理解开环频率特性和闭环频率特性的概念。掌握开、闭环频率特性性能指标的计算。重点掌握开环幅相曲线的绘制、Nyquist稳定判据，Bode图的绘制及由Bode图求传递函数，相角裕度、幅值裕度的计算。Nichols图线不作过多要求。</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5、线性系统的校正：了解控制系统校正的实质。掌握串联超前、滞后校正装置的特性及校正方法。重点掌握用频率特性法确定串联校正装置参数的方法。反馈校正、前馈校正及复合校正控制不作过多要求。</w:t>
            </w:r>
          </w:p>
          <w:p>
            <w:pPr>
              <w:spacing w:line="360" w:lineRule="exact"/>
              <w:ind w:firstLine="473"/>
              <w:rPr>
                <w:rFonts w:hint="eastAsia" w:ascii="宋体" w:hAnsi="宋体" w:eastAsia="宋体" w:cs="宋体"/>
                <w:kern w:val="0"/>
                <w:sz w:val="18"/>
                <w:szCs w:val="18"/>
              </w:rPr>
            </w:pPr>
            <w:r>
              <w:rPr>
                <w:rFonts w:hint="eastAsia" w:ascii="宋体" w:hAnsi="宋体" w:eastAsia="宋体" w:cs="宋体"/>
                <w:kern w:val="0"/>
                <w:sz w:val="18"/>
                <w:szCs w:val="18"/>
              </w:rPr>
              <w:t>6、线性离散控制系统：深刻理解离散控制系统的基本概念、采样过程，采样定理。了解Z变换和Z反变换的过程，熟悉离散控制系统数学模型的表示方法。掌握离散系统的稳定性分析。掌握离散控制系统的稳态误差分析。掌握离散控制系统的动态性能分析。</w:t>
            </w:r>
          </w:p>
          <w:p>
            <w:pPr>
              <w:adjustRightInd w:val="0"/>
              <w:snapToGrid w:val="0"/>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7、非线性系统分析：掌握非线性系统常用的分析方法——描述函数法和相平面法的特点和应用范围；熟悉典型非线性特性的描述函数及其负倒描述函数特性；掌握用描述函数法分析非线性系统的稳定性；掌握求取自激振荡点的振幅和频率的方法；掌握相轨迹的一般绘制方法。</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二、现代控制理论部分</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1、线性系统的状态空间描述：掌握状态空间描述的基本概念（状态、状态方程、输出方程等）。掌握建立系统状态空间模型的方法（根据系统机理建模、由系统微分方程建立状态空间表达式、由系统传递函数建立状态空间表达式、由系统结构图建立状态空间表达式）。掌握由状态模型求传递函数矩阵的方法。掌握由传递函数（矩阵）到状态模型的实现问题。掌握状态转移矩阵概念、求取方法及其应用。会求取状态方程的解。</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2、线性系统的能控性与能观性：深刻理解能控性、能观性的含义。掌握系统能控性、能观性的判别方法，熟悉能控性与能观性的对偶关系。了解离散系统能控性、能观性的判断。掌握将状态方程化为能控标准型、能观标准型和约当标准型的方法。重点掌握线性连续定常系统各种能控性与能观性判别准则及能控性、能观性与传递函数零极点对消的关系。会将线性定常系统进行结构分解，了解最小实现的概念。</w:t>
            </w:r>
          </w:p>
          <w:p>
            <w:pPr>
              <w:spacing w:line="36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3、线性定常系统的状态反馈和状态观测器：理解有关状态反馈、输出反馈的含义。了解系统镇定问题及带状态观测器的状态反馈系统设计问题。掌握状态观测器概念、存在条件以及状态（全维）观测器的实现。重点掌握状态反馈任意极点配置的条件以及利用极点配置实现状态反馈的设计问题。</w:t>
            </w:r>
          </w:p>
          <w:p>
            <w:pPr>
              <w:ind w:firstLine="360" w:firstLineChars="200"/>
              <w:jc w:val="left"/>
              <w:rPr>
                <w:rFonts w:hint="eastAsia" w:ascii="宋体" w:hAnsi="宋体" w:eastAsia="宋体" w:cs="宋体"/>
                <w:sz w:val="18"/>
                <w:szCs w:val="18"/>
              </w:rPr>
            </w:pPr>
            <w:r>
              <w:rPr>
                <w:rFonts w:hint="eastAsia" w:ascii="宋体" w:hAnsi="宋体" w:eastAsia="宋体" w:cs="宋体"/>
                <w:kern w:val="0"/>
                <w:sz w:val="18"/>
                <w:szCs w:val="18"/>
              </w:rPr>
              <w:t>4、李亚普诺夫稳定性分析：了解李亚普诺夫意义下稳定性、渐近稳定等定义。理解李亚普诺夫第一方法的实质。掌握李亚普诺夫第一法。掌握李亚普诺夫第二法及能量函数的基本概念。掌握李亚普诺夫第二法在线性定常系统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180" w:type="dxa"/>
            <w:gridSpan w:val="7"/>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试题结构：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0" w:type="dxa"/>
            <w:gridSpan w:val="7"/>
          </w:tcPr>
          <w:p>
            <w:pPr>
              <w:rPr>
                <w:rFonts w:hint="eastAsia" w:ascii="宋体" w:hAnsi="宋体" w:eastAsia="宋体" w:cs="宋体"/>
                <w:kern w:val="0"/>
                <w:sz w:val="18"/>
                <w:szCs w:val="18"/>
              </w:rPr>
            </w:pPr>
          </w:p>
          <w:p>
            <w:pPr>
              <w:rPr>
                <w:rFonts w:hint="eastAsia" w:ascii="宋体" w:hAnsi="宋体" w:eastAsia="宋体" w:cs="宋体"/>
                <w:kern w:val="0"/>
                <w:sz w:val="18"/>
                <w:szCs w:val="18"/>
              </w:rPr>
            </w:pPr>
          </w:p>
          <w:p>
            <w:pPr>
              <w:rPr>
                <w:rFonts w:hint="eastAsia" w:ascii="宋体" w:hAnsi="宋体" w:eastAsia="宋体" w:cs="宋体"/>
                <w:sz w:val="18"/>
                <w:szCs w:val="18"/>
              </w:rPr>
            </w:pPr>
            <w:r>
              <w:rPr>
                <w:rFonts w:hint="eastAsia" w:ascii="宋体" w:hAnsi="宋体" w:eastAsia="宋体" w:cs="宋体"/>
                <w:kern w:val="0"/>
                <w:sz w:val="18"/>
                <w:szCs w:val="18"/>
              </w:rPr>
              <w:t>计算题，共150分</w:t>
            </w:r>
          </w:p>
          <w:p>
            <w:pPr>
              <w:rPr>
                <w:rFonts w:hint="eastAsia" w:ascii="宋体" w:hAnsi="宋体" w:eastAsia="宋体" w:cs="宋体"/>
                <w:sz w:val="18"/>
                <w:szCs w:val="18"/>
              </w:rPr>
            </w:pPr>
          </w:p>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40" w:type="dxa"/>
            <w:gridSpan w:val="2"/>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参考书目名称</w:t>
            </w:r>
          </w:p>
        </w:tc>
        <w:tc>
          <w:tcPr>
            <w:tcW w:w="1440"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编者</w:t>
            </w:r>
          </w:p>
        </w:tc>
        <w:tc>
          <w:tcPr>
            <w:tcW w:w="3420" w:type="dxa"/>
            <w:gridSpan w:val="2"/>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出版单位</w:t>
            </w:r>
          </w:p>
        </w:tc>
        <w:tc>
          <w:tcPr>
            <w:tcW w:w="900"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版次</w:t>
            </w:r>
          </w:p>
        </w:tc>
        <w:tc>
          <w:tcPr>
            <w:tcW w:w="1080"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0" w:type="dxa"/>
            <w:gridSpan w:val="2"/>
            <w:vAlign w:val="center"/>
          </w:tcPr>
          <w:p>
            <w:pPr>
              <w:rPr>
                <w:rFonts w:hint="eastAsia" w:ascii="宋体" w:hAnsi="宋体" w:eastAsia="宋体" w:cs="宋体"/>
                <w:sz w:val="18"/>
                <w:szCs w:val="18"/>
              </w:rPr>
            </w:pPr>
            <w:r>
              <w:rPr>
                <w:rFonts w:hint="eastAsia" w:ascii="宋体" w:hAnsi="宋体" w:eastAsia="宋体" w:cs="宋体"/>
                <w:kern w:val="0"/>
                <w:sz w:val="18"/>
                <w:szCs w:val="18"/>
              </w:rPr>
              <w:t>自动控制原理（含现代控制理论）</w:t>
            </w:r>
          </w:p>
        </w:tc>
        <w:tc>
          <w:tcPr>
            <w:tcW w:w="1440" w:type="dxa"/>
            <w:vAlign w:val="center"/>
          </w:tcPr>
          <w:p>
            <w:pPr>
              <w:rPr>
                <w:rFonts w:hint="eastAsia" w:ascii="宋体" w:hAnsi="宋体" w:eastAsia="宋体" w:cs="宋体"/>
                <w:sz w:val="18"/>
                <w:szCs w:val="18"/>
              </w:rPr>
            </w:pPr>
            <w:r>
              <w:rPr>
                <w:rFonts w:hint="eastAsia" w:ascii="宋体" w:hAnsi="宋体" w:eastAsia="宋体" w:cs="宋体"/>
                <w:kern w:val="0"/>
                <w:sz w:val="18"/>
                <w:szCs w:val="18"/>
              </w:rPr>
              <w:t>胡寿松</w:t>
            </w:r>
          </w:p>
        </w:tc>
        <w:tc>
          <w:tcPr>
            <w:tcW w:w="3420" w:type="dxa"/>
            <w:gridSpan w:val="2"/>
            <w:vAlign w:val="center"/>
          </w:tcPr>
          <w:p>
            <w:pPr>
              <w:rPr>
                <w:rFonts w:hint="eastAsia" w:ascii="宋体" w:hAnsi="宋体" w:eastAsia="宋体" w:cs="宋体"/>
                <w:sz w:val="18"/>
                <w:szCs w:val="18"/>
              </w:rPr>
            </w:pPr>
            <w:r>
              <w:rPr>
                <w:rFonts w:hint="eastAsia" w:ascii="宋体" w:hAnsi="宋体" w:eastAsia="宋体" w:cs="宋体"/>
                <w:kern w:val="0"/>
                <w:sz w:val="18"/>
                <w:szCs w:val="18"/>
              </w:rPr>
              <w:t>科学出版</w:t>
            </w:r>
            <w:r>
              <w:rPr>
                <w:rFonts w:hint="eastAsia" w:ascii="宋体" w:hAnsi="宋体" w:eastAsia="宋体" w:cs="宋体"/>
                <w:color w:val="000000"/>
                <w:kern w:val="0"/>
                <w:sz w:val="18"/>
                <w:szCs w:val="18"/>
              </w:rPr>
              <w:t>社</w:t>
            </w:r>
          </w:p>
        </w:tc>
        <w:tc>
          <w:tcPr>
            <w:tcW w:w="900" w:type="dxa"/>
            <w:vAlign w:val="center"/>
          </w:tcPr>
          <w:p>
            <w:pPr>
              <w:rPr>
                <w:rFonts w:hint="eastAsia" w:ascii="宋体" w:hAnsi="宋体" w:eastAsia="宋体" w:cs="宋体"/>
                <w:sz w:val="18"/>
                <w:szCs w:val="18"/>
              </w:rPr>
            </w:pPr>
            <w:r>
              <w:rPr>
                <w:rFonts w:hint="eastAsia" w:ascii="宋体" w:hAnsi="宋体" w:eastAsia="宋体" w:cs="宋体"/>
                <w:sz w:val="18"/>
                <w:szCs w:val="18"/>
              </w:rPr>
              <w:t>第七版</w:t>
            </w:r>
          </w:p>
        </w:tc>
        <w:tc>
          <w:tcPr>
            <w:tcW w:w="1080" w:type="dxa"/>
            <w:vAlign w:val="center"/>
          </w:tcPr>
          <w:p>
            <w:pPr>
              <w:rPr>
                <w:rFonts w:hint="eastAsia" w:ascii="宋体" w:hAnsi="宋体" w:eastAsia="宋体" w:cs="宋体"/>
                <w:sz w:val="18"/>
                <w:szCs w:val="18"/>
              </w:rPr>
            </w:pPr>
            <w:r>
              <w:rPr>
                <w:rFonts w:hint="eastAsia" w:ascii="宋体" w:hAnsi="宋体" w:eastAsia="宋体" w:cs="宋体"/>
                <w:color w:val="000000"/>
                <w:kern w:val="0"/>
                <w:sz w:val="18"/>
                <w:szCs w:val="18"/>
              </w:rPr>
              <w:t>2019年</w:t>
            </w:r>
          </w:p>
        </w:tc>
      </w:tr>
    </w:tbl>
    <w:p>
      <w:pPr>
        <w:rPr>
          <w:b/>
        </w:rPr>
      </w:pPr>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A4YTg4YzhkOGQyZDFmNDVkMDFlNDA0NmUzNWZhNjAifQ=="/>
  </w:docVars>
  <w:rsids>
    <w:rsidRoot w:val="009D7B78"/>
    <w:rsid w:val="00004B70"/>
    <w:rsid w:val="00052F48"/>
    <w:rsid w:val="000662F9"/>
    <w:rsid w:val="000865D9"/>
    <w:rsid w:val="000B21F9"/>
    <w:rsid w:val="000B4152"/>
    <w:rsid w:val="00121A28"/>
    <w:rsid w:val="00173DE0"/>
    <w:rsid w:val="00180021"/>
    <w:rsid w:val="00186616"/>
    <w:rsid w:val="002210EF"/>
    <w:rsid w:val="002A77C5"/>
    <w:rsid w:val="003C1875"/>
    <w:rsid w:val="003C1AE3"/>
    <w:rsid w:val="003C7555"/>
    <w:rsid w:val="003F2214"/>
    <w:rsid w:val="00403422"/>
    <w:rsid w:val="004A489E"/>
    <w:rsid w:val="004B24B0"/>
    <w:rsid w:val="0058303E"/>
    <w:rsid w:val="005928A5"/>
    <w:rsid w:val="006402E8"/>
    <w:rsid w:val="00642231"/>
    <w:rsid w:val="00655A52"/>
    <w:rsid w:val="00672352"/>
    <w:rsid w:val="006C5C3F"/>
    <w:rsid w:val="006F5144"/>
    <w:rsid w:val="00703139"/>
    <w:rsid w:val="007461FF"/>
    <w:rsid w:val="007559C3"/>
    <w:rsid w:val="0077351E"/>
    <w:rsid w:val="00783817"/>
    <w:rsid w:val="007C11ED"/>
    <w:rsid w:val="007E5BE3"/>
    <w:rsid w:val="00813BCD"/>
    <w:rsid w:val="0082516D"/>
    <w:rsid w:val="00836B8F"/>
    <w:rsid w:val="008709C2"/>
    <w:rsid w:val="008825FF"/>
    <w:rsid w:val="008E56BC"/>
    <w:rsid w:val="008E65C4"/>
    <w:rsid w:val="009A2454"/>
    <w:rsid w:val="009D7B78"/>
    <w:rsid w:val="009F6609"/>
    <w:rsid w:val="00A13195"/>
    <w:rsid w:val="00A2028B"/>
    <w:rsid w:val="00A26C5B"/>
    <w:rsid w:val="00A37349"/>
    <w:rsid w:val="00AC111E"/>
    <w:rsid w:val="00B4087E"/>
    <w:rsid w:val="00B66561"/>
    <w:rsid w:val="00BA068A"/>
    <w:rsid w:val="00BA3773"/>
    <w:rsid w:val="00BC5CCF"/>
    <w:rsid w:val="00C3576A"/>
    <w:rsid w:val="00C80A07"/>
    <w:rsid w:val="00C91CC8"/>
    <w:rsid w:val="00CF3207"/>
    <w:rsid w:val="00CF5C8A"/>
    <w:rsid w:val="00D41E07"/>
    <w:rsid w:val="00D47C45"/>
    <w:rsid w:val="00D51289"/>
    <w:rsid w:val="00D51C45"/>
    <w:rsid w:val="00D9687E"/>
    <w:rsid w:val="00DA1874"/>
    <w:rsid w:val="00E017C8"/>
    <w:rsid w:val="00E0572D"/>
    <w:rsid w:val="00E10948"/>
    <w:rsid w:val="00E76C0E"/>
    <w:rsid w:val="00EC0503"/>
    <w:rsid w:val="00F37E41"/>
    <w:rsid w:val="00F41D56"/>
    <w:rsid w:val="00F420AC"/>
    <w:rsid w:val="00F81D16"/>
    <w:rsid w:val="00FD502A"/>
    <w:rsid w:val="00FE30FB"/>
    <w:rsid w:val="00FF5D49"/>
    <w:rsid w:val="02F45E67"/>
    <w:rsid w:val="036D482C"/>
    <w:rsid w:val="03864D68"/>
    <w:rsid w:val="06B40F8F"/>
    <w:rsid w:val="0B591E2E"/>
    <w:rsid w:val="0B904506"/>
    <w:rsid w:val="0F924E67"/>
    <w:rsid w:val="10655CF3"/>
    <w:rsid w:val="167B1966"/>
    <w:rsid w:val="19024013"/>
    <w:rsid w:val="1C9B12FC"/>
    <w:rsid w:val="1F730AA4"/>
    <w:rsid w:val="2C55584A"/>
    <w:rsid w:val="2C6B57F0"/>
    <w:rsid w:val="2D901D4F"/>
    <w:rsid w:val="2E6A74B4"/>
    <w:rsid w:val="2EFF3BF7"/>
    <w:rsid w:val="2F126358"/>
    <w:rsid w:val="349C315B"/>
    <w:rsid w:val="373B05AC"/>
    <w:rsid w:val="38692A55"/>
    <w:rsid w:val="3DAE0540"/>
    <w:rsid w:val="3FC06CA7"/>
    <w:rsid w:val="41321107"/>
    <w:rsid w:val="414E1341"/>
    <w:rsid w:val="42F06ADE"/>
    <w:rsid w:val="431B31A5"/>
    <w:rsid w:val="43503573"/>
    <w:rsid w:val="44D74780"/>
    <w:rsid w:val="4DEA5F62"/>
    <w:rsid w:val="52121BB5"/>
    <w:rsid w:val="54DF2FCC"/>
    <w:rsid w:val="584E3BED"/>
    <w:rsid w:val="5B7C3DA5"/>
    <w:rsid w:val="618C1A96"/>
    <w:rsid w:val="637F5749"/>
    <w:rsid w:val="66782EA9"/>
    <w:rsid w:val="67706CC4"/>
    <w:rsid w:val="6A9E6E7B"/>
    <w:rsid w:val="6C5164C2"/>
    <w:rsid w:val="71BE49AA"/>
    <w:rsid w:val="724C7A91"/>
    <w:rsid w:val="791E09E7"/>
    <w:rsid w:val="7AB03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kern w:val="0"/>
      <w:sz w:val="24"/>
    </w:rPr>
  </w:style>
  <w:style w:type="character" w:customStyle="1" w:styleId="8">
    <w:name w:val="页眉 Char"/>
    <w:link w:val="4"/>
    <w:uiPriority w:val="0"/>
    <w:rPr>
      <w:kern w:val="2"/>
      <w:sz w:val="18"/>
      <w:szCs w:val="18"/>
    </w:rPr>
  </w:style>
  <w:style w:type="character" w:customStyle="1" w:styleId="9">
    <w:name w:val="页脚 Char"/>
    <w:link w:val="3"/>
    <w:uiPriority w:val="0"/>
    <w:rPr>
      <w:kern w:val="2"/>
      <w:sz w:val="18"/>
      <w:szCs w:val="18"/>
    </w:rPr>
  </w:style>
  <w:style w:type="paragraph" w:customStyle="1" w:styleId="10">
    <w:name w:val="Char"/>
    <w:basedOn w:val="1"/>
    <w:uiPriority w:val="0"/>
    <w:pPr>
      <w:widowControl/>
      <w:spacing w:after="160" w:line="240" w:lineRule="exact"/>
      <w:jc w:val="left"/>
    </w:pPr>
    <w:rPr>
      <w:szCs w:val="21"/>
    </w:rPr>
  </w:style>
  <w:style w:type="paragraph" w:customStyle="1" w:styleId="11">
    <w:name w:val="默认段落字体 Para Char"/>
    <w:basedOn w:val="1"/>
    <w:uiPriority w:val="0"/>
    <w:pPr>
      <w:spacing w:beforeLines="50" w:afterLines="50"/>
      <w:jc w:val="left"/>
    </w:pPr>
    <w:rPr>
      <w:sz w:val="3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yjsc</Company>
  <Pages>2</Pages>
  <Words>1591</Words>
  <Characters>1622</Characters>
  <Lines>12</Lines>
  <Paragraphs>3</Paragraphs>
  <TotalTime>9</TotalTime>
  <ScaleCrop>false</ScaleCrop>
  <LinksUpToDate>false</LinksUpToDate>
  <CharactersWithSpaces>1645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2019-07-02T11:11:00Z</dcterms:created>
  <dc:creator>lp</dc:creator>
  <cp:lastModifiedBy>文正东兴</cp:lastModifiedBy>
  <cp:lastPrinted>2018-04-25T01:54:00Z</cp:lastPrinted>
  <dcterms:modified xsi:type="dcterms:W3CDTF">2024-05-29T01:07:47Z</dcterms:modified>
  <dc:title>安徽农业大学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3037A5E41D944365A53AB9193F7AA1BF</vt:lpwstr>
  </property>
</Properties>
</file>