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楷体_GB2312" w:eastAsia="楷体_GB2312"/>
          <w:b/>
          <w:sz w:val="28"/>
          <w:szCs w:val="28"/>
        </w:rPr>
      </w:pPr>
    </w:p>
    <w:p>
      <w:pPr>
        <w:spacing w:line="400" w:lineRule="exact"/>
        <w:jc w:val="center"/>
        <w:rPr>
          <w:rFonts w:ascii="楷体_GB2312" w:eastAsia="楷体_GB2312"/>
          <w:b/>
          <w:sz w:val="28"/>
          <w:szCs w:val="28"/>
        </w:rPr>
      </w:pPr>
    </w:p>
    <w:p>
      <w:pPr>
        <w:spacing w:line="400" w:lineRule="exact"/>
        <w:jc w:val="center"/>
        <w:rPr>
          <w:rFonts w:eastAsia="楷体_GB2312"/>
          <w:b/>
          <w:sz w:val="28"/>
          <w:szCs w:val="28"/>
        </w:rPr>
      </w:pPr>
      <w:r>
        <w:rPr>
          <w:rFonts w:eastAsia="楷体_GB2312"/>
          <w:b/>
          <w:sz w:val="28"/>
          <w:szCs w:val="28"/>
        </w:rPr>
        <w:t>202</w:t>
      </w:r>
      <w:r>
        <w:rPr>
          <w:rFonts w:hint="eastAsia" w:eastAsia="楷体_GB2312"/>
          <w:b/>
          <w:sz w:val="28"/>
          <w:szCs w:val="28"/>
          <w:lang w:val="en-US" w:eastAsia="zh-CN"/>
        </w:rPr>
        <w:t>5</w:t>
      </w:r>
      <w:r>
        <w:rPr>
          <w:rFonts w:eastAsia="楷体_GB2312"/>
          <w:b/>
          <w:sz w:val="28"/>
          <w:szCs w:val="28"/>
        </w:rPr>
        <w:t>年南通大学硕士研究生入学考试复习大纲</w:t>
      </w:r>
    </w:p>
    <w:p>
      <w:pPr>
        <w:spacing w:before="156" w:beforeLines="50" w:line="400" w:lineRule="exact"/>
        <w:rPr>
          <w:rFonts w:eastAsia="楷体_GB2312"/>
          <w:b/>
          <w:sz w:val="18"/>
          <w:szCs w:val="18"/>
        </w:rPr>
      </w:pPr>
      <w:r>
        <w:rPr>
          <w:rFonts w:eastAsia="楷体_GB2312"/>
          <w:b/>
          <w:sz w:val="18"/>
          <w:szCs w:val="18"/>
        </w:rPr>
        <w:t>培养单位: 电气</w:t>
      </w:r>
      <w:r>
        <w:rPr>
          <w:rFonts w:hint="eastAsia" w:eastAsia="楷体_GB2312"/>
          <w:b/>
          <w:sz w:val="18"/>
          <w:szCs w:val="18"/>
          <w:lang w:val="en-US" w:eastAsia="zh-CN"/>
        </w:rPr>
        <w:t>与自动化</w:t>
      </w:r>
      <w:r>
        <w:rPr>
          <w:rFonts w:eastAsia="楷体_GB2312"/>
          <w:b/>
          <w:sz w:val="18"/>
          <w:szCs w:val="18"/>
        </w:rPr>
        <w:t xml:space="preserve">学院                   </w:t>
      </w:r>
      <w:r>
        <w:rPr>
          <w:b/>
          <w:sz w:val="18"/>
          <w:szCs w:val="18"/>
        </w:rPr>
        <w:t xml:space="preserve"> 20</w:t>
      </w:r>
      <w:r>
        <w:rPr>
          <w:rFonts w:hint="eastAsia"/>
          <w:b/>
          <w:sz w:val="18"/>
          <w:szCs w:val="18"/>
        </w:rPr>
        <w:t>2</w:t>
      </w:r>
      <w:r>
        <w:rPr>
          <w:rFonts w:hint="eastAsia"/>
          <w:b/>
          <w:sz w:val="18"/>
          <w:szCs w:val="18"/>
          <w:lang w:val="en-US" w:eastAsia="zh-CN"/>
        </w:rPr>
        <w:t>4</w:t>
      </w:r>
      <w:bookmarkStart w:id="0" w:name="_GoBack"/>
      <w:bookmarkEnd w:id="0"/>
      <w:r>
        <w:rPr>
          <w:b/>
          <w:sz w:val="18"/>
          <w:szCs w:val="18"/>
        </w:rPr>
        <w:t xml:space="preserve"> 年  </w:t>
      </w:r>
      <w:r>
        <w:rPr>
          <w:rFonts w:hint="eastAsia"/>
          <w:b/>
          <w:sz w:val="18"/>
          <w:szCs w:val="18"/>
          <w:lang w:val="en-US" w:eastAsia="zh-CN"/>
        </w:rPr>
        <w:t>6</w:t>
      </w:r>
      <w:r>
        <w:rPr>
          <w:b/>
          <w:sz w:val="18"/>
          <w:szCs w:val="18"/>
        </w:rPr>
        <w:t xml:space="preserve"> 月</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1440"/>
        <w:gridCol w:w="1800"/>
        <w:gridCol w:w="162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vAlign w:val="center"/>
          </w:tcPr>
          <w:p>
            <w:pPr>
              <w:jc w:val="center"/>
              <w:rPr>
                <w:b/>
                <w:sz w:val="18"/>
                <w:szCs w:val="18"/>
              </w:rPr>
            </w:pPr>
            <w:r>
              <w:rPr>
                <w:b/>
                <w:sz w:val="18"/>
                <w:szCs w:val="18"/>
              </w:rPr>
              <w:t>科目名称</w:t>
            </w:r>
          </w:p>
        </w:tc>
        <w:tc>
          <w:tcPr>
            <w:tcW w:w="4320" w:type="dxa"/>
            <w:gridSpan w:val="3"/>
            <w:vAlign w:val="center"/>
          </w:tcPr>
          <w:p>
            <w:pPr>
              <w:jc w:val="center"/>
              <w:rPr>
                <w:b/>
                <w:sz w:val="18"/>
                <w:szCs w:val="18"/>
              </w:rPr>
            </w:pPr>
            <w:r>
              <w:rPr>
                <w:sz w:val="18"/>
                <w:szCs w:val="18"/>
              </w:rPr>
              <w:t>电路</w:t>
            </w:r>
          </w:p>
        </w:tc>
        <w:tc>
          <w:tcPr>
            <w:tcW w:w="1620" w:type="dxa"/>
            <w:vAlign w:val="center"/>
          </w:tcPr>
          <w:p>
            <w:pPr>
              <w:jc w:val="center"/>
              <w:rPr>
                <w:b/>
                <w:sz w:val="18"/>
                <w:szCs w:val="18"/>
              </w:rPr>
            </w:pPr>
            <w:r>
              <w:rPr>
                <w:b/>
                <w:sz w:val="18"/>
                <w:szCs w:val="18"/>
              </w:rPr>
              <w:t>科目代码</w:t>
            </w:r>
          </w:p>
        </w:tc>
        <w:tc>
          <w:tcPr>
            <w:tcW w:w="1980" w:type="dxa"/>
            <w:gridSpan w:val="2"/>
            <w:vAlign w:val="center"/>
          </w:tcPr>
          <w:p>
            <w:pPr>
              <w:jc w:val="center"/>
              <w:rPr>
                <w:b/>
                <w:sz w:val="18"/>
                <w:szCs w:val="18"/>
              </w:rPr>
            </w:pPr>
            <w:r>
              <w:rPr>
                <w:rFonts w:hint="eastAsia" w:ascii="宋体" w:hAnsi="宋体"/>
                <w:color w:val="000000"/>
                <w:sz w:val="18"/>
                <w:szCs w:val="18"/>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180" w:type="dxa"/>
            <w:gridSpan w:val="7"/>
            <w:vAlign w:val="center"/>
          </w:tcPr>
          <w:p>
            <w:pPr>
              <w:jc w:val="center"/>
              <w:rPr>
                <w:b/>
                <w:sz w:val="18"/>
                <w:szCs w:val="18"/>
              </w:rPr>
            </w:pPr>
            <w:r>
              <w:rPr>
                <w:b/>
                <w:sz w:val="18"/>
                <w:szCs w:val="18"/>
              </w:rPr>
              <w:t>考试范围及要点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jc w:val="center"/>
        </w:trPr>
        <w:tc>
          <w:tcPr>
            <w:tcW w:w="9180" w:type="dxa"/>
            <w:gridSpan w:val="7"/>
          </w:tcPr>
          <w:p>
            <w:pPr>
              <w:spacing w:before="156" w:beforeLines="50" w:line="320" w:lineRule="exact"/>
              <w:ind w:firstLine="360" w:firstLineChars="200"/>
              <w:rPr>
                <w:sz w:val="18"/>
                <w:szCs w:val="18"/>
              </w:rPr>
            </w:pPr>
            <w:r>
              <w:rPr>
                <w:sz w:val="18"/>
                <w:szCs w:val="18"/>
              </w:rPr>
              <w:t>本大纲适用于报考南通大学控制科学与工程学科的硕士研究生入学考试。本课程主要考核电路课程的基本概念、基本理论与基本计算方法。</w:t>
            </w:r>
          </w:p>
          <w:p>
            <w:pPr>
              <w:spacing w:line="320" w:lineRule="exact"/>
              <w:ind w:firstLine="360" w:firstLineChars="200"/>
              <w:rPr>
                <w:sz w:val="18"/>
                <w:szCs w:val="18"/>
              </w:rPr>
            </w:pPr>
            <w:r>
              <w:rPr>
                <w:sz w:val="18"/>
                <w:szCs w:val="18"/>
              </w:rPr>
              <w:t>1、电路模型和电路定理：电压、电流的参考方向，基本电路元件，电阻、电源、受控源的VAR，功率的计算、功率的吸收及释放，基尔霍夫定律及其应用。</w:t>
            </w:r>
          </w:p>
          <w:p>
            <w:pPr>
              <w:spacing w:line="320" w:lineRule="exact"/>
              <w:ind w:firstLine="360" w:firstLineChars="200"/>
              <w:rPr>
                <w:sz w:val="18"/>
                <w:szCs w:val="18"/>
              </w:rPr>
            </w:pPr>
            <w:r>
              <w:rPr>
                <w:sz w:val="18"/>
                <w:szCs w:val="18"/>
              </w:rPr>
              <w:t>2、线性电阻电路分析：电阻电路的等效变换，实际电源的等效变换，输入电阻的求解法；结点电压法，回路电流法和网孔电流法；叠加定理，戴维南定理及其等效电路，最大功率传输定理。</w:t>
            </w:r>
          </w:p>
          <w:p>
            <w:pPr>
              <w:spacing w:line="320" w:lineRule="exact"/>
              <w:ind w:firstLine="360" w:firstLineChars="200"/>
              <w:rPr>
                <w:sz w:val="18"/>
                <w:szCs w:val="18"/>
              </w:rPr>
            </w:pPr>
            <w:r>
              <w:rPr>
                <w:sz w:val="18"/>
                <w:szCs w:val="18"/>
              </w:rPr>
              <w:t>3、线性动态电路分析（时域分析）：一阶电路初始值的求解、响应分类、时间常数，三要素法。</w:t>
            </w:r>
          </w:p>
          <w:p>
            <w:pPr>
              <w:spacing w:line="320" w:lineRule="exact"/>
              <w:ind w:firstLine="360" w:firstLineChars="200"/>
              <w:rPr>
                <w:sz w:val="18"/>
                <w:szCs w:val="18"/>
              </w:rPr>
            </w:pPr>
            <w:r>
              <w:rPr>
                <w:sz w:val="18"/>
                <w:szCs w:val="18"/>
              </w:rPr>
              <w:t>4、正弦稳态电路的分析：正弦量及相量法，元件的阻抗与导纳，相量图，一般正弦稳态电路的分析方法，有功功率、无功功率，复功率、功率因数的概念及分析计算，最大功率传输条件及分析计算，串联电路、并联电路的谐振；含耦合电感电路的分析计算及理想变压器；对称三相电路的分析、计算及三相功率的计算与测量。</w:t>
            </w:r>
          </w:p>
          <w:p>
            <w:pPr>
              <w:spacing w:line="320" w:lineRule="exact"/>
              <w:ind w:firstLine="360" w:firstLineChars="200"/>
              <w:rPr>
                <w:sz w:val="18"/>
                <w:szCs w:val="18"/>
              </w:rPr>
            </w:pPr>
            <w:r>
              <w:rPr>
                <w:sz w:val="18"/>
                <w:szCs w:val="18"/>
              </w:rPr>
              <w:t>5、电路方程的矩阵形式：割集的基本概念，割集矩阵Q（Q</w:t>
            </w:r>
            <w:r>
              <w:rPr>
                <w:sz w:val="18"/>
                <w:szCs w:val="18"/>
                <w:vertAlign w:val="subscript"/>
              </w:rPr>
              <w:t>f</w:t>
            </w:r>
            <w:r>
              <w:rPr>
                <w:sz w:val="18"/>
                <w:szCs w:val="18"/>
              </w:rPr>
              <w:t>）、关联矩阵A、回路矩阵B（B</w:t>
            </w:r>
            <w:r>
              <w:rPr>
                <w:sz w:val="18"/>
                <w:szCs w:val="18"/>
                <w:vertAlign w:val="subscript"/>
              </w:rPr>
              <w:t>f</w:t>
            </w:r>
            <w:r>
              <w:rPr>
                <w:sz w:val="18"/>
                <w:szCs w:val="18"/>
              </w:rPr>
              <w:t>），结点电压方程的矩阵形式。</w:t>
            </w:r>
          </w:p>
          <w:p>
            <w:pPr>
              <w:ind w:firstLine="360" w:firstLineChars="200"/>
              <w:jc w:val="left"/>
              <w:rPr>
                <w:sz w:val="18"/>
                <w:szCs w:val="18"/>
              </w:rPr>
            </w:pPr>
            <w:r>
              <w:rPr>
                <w:sz w:val="18"/>
                <w:szCs w:val="18"/>
              </w:rPr>
              <w:t>6、二端口网络：四种参数方程及参数计算，二端口网络的等效电路。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180" w:type="dxa"/>
            <w:gridSpan w:val="7"/>
            <w:vAlign w:val="center"/>
          </w:tcPr>
          <w:p>
            <w:pPr>
              <w:jc w:val="center"/>
              <w:rPr>
                <w:b/>
                <w:sz w:val="18"/>
                <w:szCs w:val="18"/>
              </w:rPr>
            </w:pPr>
            <w:r>
              <w:rPr>
                <w:b/>
                <w:sz w:val="18"/>
                <w:szCs w:val="18"/>
              </w:rPr>
              <w:t>试题结构：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0" w:type="dxa"/>
            <w:gridSpan w:val="7"/>
          </w:tcPr>
          <w:p>
            <w:pPr>
              <w:spacing w:line="360" w:lineRule="auto"/>
              <w:ind w:left="323"/>
              <w:rPr>
                <w:sz w:val="18"/>
                <w:szCs w:val="18"/>
              </w:rPr>
            </w:pPr>
            <w:r>
              <w:rPr>
                <w:sz w:val="18"/>
                <w:szCs w:val="18"/>
              </w:rPr>
              <w:t>共150分</w:t>
            </w:r>
          </w:p>
          <w:p>
            <w:pPr>
              <w:spacing w:line="360" w:lineRule="auto"/>
              <w:rPr>
                <w:sz w:val="18"/>
                <w:szCs w:val="18"/>
              </w:rPr>
            </w:pPr>
            <w:r>
              <w:rPr>
                <w:sz w:val="18"/>
                <w:szCs w:val="18"/>
              </w:rPr>
              <w:t>一、简单计算题</w:t>
            </w:r>
          </w:p>
          <w:p>
            <w:pPr>
              <w:rPr>
                <w:sz w:val="18"/>
                <w:szCs w:val="18"/>
              </w:rPr>
            </w:pPr>
            <w:r>
              <w:rPr>
                <w:sz w:val="18"/>
                <w:szCs w:val="18"/>
              </w:rPr>
              <w:t>二、复杂计算题</w:t>
            </w:r>
          </w:p>
          <w:p>
            <w:pPr>
              <w:rPr>
                <w:sz w:val="18"/>
                <w:szCs w:val="18"/>
              </w:rPr>
            </w:pPr>
          </w:p>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40" w:type="dxa"/>
            <w:gridSpan w:val="2"/>
            <w:vAlign w:val="center"/>
          </w:tcPr>
          <w:p>
            <w:pPr>
              <w:jc w:val="center"/>
              <w:rPr>
                <w:b/>
                <w:sz w:val="18"/>
                <w:szCs w:val="18"/>
              </w:rPr>
            </w:pPr>
            <w:r>
              <w:rPr>
                <w:b/>
                <w:sz w:val="18"/>
                <w:szCs w:val="18"/>
              </w:rPr>
              <w:t>参考书目名称</w:t>
            </w:r>
          </w:p>
        </w:tc>
        <w:tc>
          <w:tcPr>
            <w:tcW w:w="1440" w:type="dxa"/>
            <w:vAlign w:val="center"/>
          </w:tcPr>
          <w:p>
            <w:pPr>
              <w:jc w:val="center"/>
              <w:rPr>
                <w:b/>
                <w:sz w:val="18"/>
                <w:szCs w:val="18"/>
              </w:rPr>
            </w:pPr>
            <w:r>
              <w:rPr>
                <w:b/>
                <w:sz w:val="18"/>
                <w:szCs w:val="18"/>
              </w:rPr>
              <w:t>编者</w:t>
            </w:r>
          </w:p>
        </w:tc>
        <w:tc>
          <w:tcPr>
            <w:tcW w:w="3420" w:type="dxa"/>
            <w:gridSpan w:val="2"/>
            <w:vAlign w:val="center"/>
          </w:tcPr>
          <w:p>
            <w:pPr>
              <w:jc w:val="center"/>
              <w:rPr>
                <w:b/>
                <w:sz w:val="18"/>
                <w:szCs w:val="18"/>
              </w:rPr>
            </w:pPr>
            <w:r>
              <w:rPr>
                <w:b/>
                <w:sz w:val="18"/>
                <w:szCs w:val="18"/>
              </w:rPr>
              <w:t>出版单位</w:t>
            </w:r>
          </w:p>
        </w:tc>
        <w:tc>
          <w:tcPr>
            <w:tcW w:w="900" w:type="dxa"/>
            <w:vAlign w:val="center"/>
          </w:tcPr>
          <w:p>
            <w:pPr>
              <w:jc w:val="center"/>
              <w:rPr>
                <w:b/>
                <w:sz w:val="18"/>
                <w:szCs w:val="18"/>
              </w:rPr>
            </w:pPr>
            <w:r>
              <w:rPr>
                <w:b/>
                <w:sz w:val="18"/>
                <w:szCs w:val="18"/>
              </w:rPr>
              <w:t>版次</w:t>
            </w:r>
          </w:p>
        </w:tc>
        <w:tc>
          <w:tcPr>
            <w:tcW w:w="1080" w:type="dxa"/>
            <w:vAlign w:val="center"/>
          </w:tcPr>
          <w:p>
            <w:pPr>
              <w:jc w:val="center"/>
              <w:rPr>
                <w:b/>
                <w:sz w:val="18"/>
                <w:szCs w:val="18"/>
              </w:rPr>
            </w:pPr>
            <w:r>
              <w:rPr>
                <w:b/>
                <w:sz w:val="18"/>
                <w:szCs w:val="18"/>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40" w:type="dxa"/>
            <w:gridSpan w:val="2"/>
            <w:vAlign w:val="center"/>
          </w:tcPr>
          <w:p>
            <w:pPr>
              <w:rPr>
                <w:sz w:val="18"/>
                <w:szCs w:val="18"/>
              </w:rPr>
            </w:pPr>
            <w:r>
              <w:rPr>
                <w:sz w:val="18"/>
                <w:szCs w:val="18"/>
              </w:rPr>
              <w:t>电路</w:t>
            </w:r>
          </w:p>
        </w:tc>
        <w:tc>
          <w:tcPr>
            <w:tcW w:w="1440" w:type="dxa"/>
            <w:vAlign w:val="center"/>
          </w:tcPr>
          <w:p>
            <w:pPr>
              <w:rPr>
                <w:sz w:val="18"/>
                <w:szCs w:val="18"/>
              </w:rPr>
            </w:pPr>
            <w:r>
              <w:rPr>
                <w:sz w:val="18"/>
                <w:szCs w:val="18"/>
              </w:rPr>
              <w:t>原著邱关源，修订罗先觉</w:t>
            </w:r>
          </w:p>
        </w:tc>
        <w:tc>
          <w:tcPr>
            <w:tcW w:w="3420" w:type="dxa"/>
            <w:gridSpan w:val="2"/>
            <w:vAlign w:val="center"/>
          </w:tcPr>
          <w:p>
            <w:pPr>
              <w:rPr>
                <w:sz w:val="18"/>
                <w:szCs w:val="18"/>
              </w:rPr>
            </w:pPr>
            <w:r>
              <w:rPr>
                <w:sz w:val="18"/>
                <w:szCs w:val="18"/>
              </w:rPr>
              <w:t>高等教育出版社</w:t>
            </w:r>
          </w:p>
        </w:tc>
        <w:tc>
          <w:tcPr>
            <w:tcW w:w="900" w:type="dxa"/>
            <w:vAlign w:val="center"/>
          </w:tcPr>
          <w:p>
            <w:pPr>
              <w:rPr>
                <w:sz w:val="18"/>
                <w:szCs w:val="18"/>
              </w:rPr>
            </w:pPr>
            <w:r>
              <w:rPr>
                <w:sz w:val="18"/>
                <w:szCs w:val="18"/>
              </w:rPr>
              <w:t>第五版</w:t>
            </w:r>
          </w:p>
        </w:tc>
        <w:tc>
          <w:tcPr>
            <w:tcW w:w="1080" w:type="dxa"/>
            <w:vAlign w:val="center"/>
          </w:tcPr>
          <w:p>
            <w:pPr>
              <w:rPr>
                <w:sz w:val="18"/>
                <w:szCs w:val="18"/>
              </w:rPr>
            </w:pPr>
            <w:r>
              <w:rPr>
                <w:sz w:val="18"/>
                <w:szCs w:val="18"/>
              </w:rPr>
              <w:t>2006年</w:t>
            </w:r>
          </w:p>
        </w:tc>
      </w:tr>
    </w:tbl>
    <w:p>
      <w:pPr>
        <w:rPr>
          <w:b/>
          <w:sz w:val="18"/>
          <w:szCs w:val="18"/>
        </w:rPr>
      </w:pPr>
    </w:p>
    <w:sectPr>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A4YTg4YzhkOGQyZDFmNDVkMDFlNDA0NmUzNWZhNjAifQ=="/>
  </w:docVars>
  <w:rsids>
    <w:rsidRoot w:val="009D7B78"/>
    <w:rsid w:val="00004B70"/>
    <w:rsid w:val="00052F48"/>
    <w:rsid w:val="000865D9"/>
    <w:rsid w:val="000A6E10"/>
    <w:rsid w:val="000B4152"/>
    <w:rsid w:val="00121A28"/>
    <w:rsid w:val="001374FC"/>
    <w:rsid w:val="00173DE0"/>
    <w:rsid w:val="00180021"/>
    <w:rsid w:val="00186616"/>
    <w:rsid w:val="002210EF"/>
    <w:rsid w:val="002A77C5"/>
    <w:rsid w:val="0030302C"/>
    <w:rsid w:val="00330C5E"/>
    <w:rsid w:val="003C1875"/>
    <w:rsid w:val="003C1AE3"/>
    <w:rsid w:val="003C7555"/>
    <w:rsid w:val="00403422"/>
    <w:rsid w:val="004178F1"/>
    <w:rsid w:val="004A489E"/>
    <w:rsid w:val="004B24B0"/>
    <w:rsid w:val="00580D33"/>
    <w:rsid w:val="0058303E"/>
    <w:rsid w:val="005928A5"/>
    <w:rsid w:val="005D2CD3"/>
    <w:rsid w:val="00642231"/>
    <w:rsid w:val="00655A52"/>
    <w:rsid w:val="00672352"/>
    <w:rsid w:val="00676822"/>
    <w:rsid w:val="00703139"/>
    <w:rsid w:val="0072578D"/>
    <w:rsid w:val="00727C68"/>
    <w:rsid w:val="00745A06"/>
    <w:rsid w:val="007559C3"/>
    <w:rsid w:val="0077351E"/>
    <w:rsid w:val="00783817"/>
    <w:rsid w:val="007C11ED"/>
    <w:rsid w:val="007E5BE3"/>
    <w:rsid w:val="00813BCD"/>
    <w:rsid w:val="0082516D"/>
    <w:rsid w:val="00836B8F"/>
    <w:rsid w:val="008709C2"/>
    <w:rsid w:val="008A0751"/>
    <w:rsid w:val="008E56BC"/>
    <w:rsid w:val="008E65C4"/>
    <w:rsid w:val="009A1EC6"/>
    <w:rsid w:val="009A2454"/>
    <w:rsid w:val="009D7B78"/>
    <w:rsid w:val="009F6609"/>
    <w:rsid w:val="00A149A9"/>
    <w:rsid w:val="00A2028B"/>
    <w:rsid w:val="00A26C5B"/>
    <w:rsid w:val="00A37349"/>
    <w:rsid w:val="00AC111E"/>
    <w:rsid w:val="00AD6B30"/>
    <w:rsid w:val="00B4087E"/>
    <w:rsid w:val="00B66561"/>
    <w:rsid w:val="00BA068A"/>
    <w:rsid w:val="00BA3773"/>
    <w:rsid w:val="00BC5CCF"/>
    <w:rsid w:val="00C80A07"/>
    <w:rsid w:val="00CF5C8A"/>
    <w:rsid w:val="00D47C45"/>
    <w:rsid w:val="00D51289"/>
    <w:rsid w:val="00D9687E"/>
    <w:rsid w:val="00E017C8"/>
    <w:rsid w:val="00E10948"/>
    <w:rsid w:val="00E67CEE"/>
    <w:rsid w:val="00E76C0E"/>
    <w:rsid w:val="00E8242D"/>
    <w:rsid w:val="00E878AF"/>
    <w:rsid w:val="00EA3FF4"/>
    <w:rsid w:val="00EC0503"/>
    <w:rsid w:val="00ED478F"/>
    <w:rsid w:val="00F41D56"/>
    <w:rsid w:val="00F420AC"/>
    <w:rsid w:val="00F81D16"/>
    <w:rsid w:val="00FD502A"/>
    <w:rsid w:val="00FE30FB"/>
    <w:rsid w:val="02F45E67"/>
    <w:rsid w:val="036D482C"/>
    <w:rsid w:val="03864D68"/>
    <w:rsid w:val="06B40F8F"/>
    <w:rsid w:val="0B591E2E"/>
    <w:rsid w:val="0B904506"/>
    <w:rsid w:val="0D823CA7"/>
    <w:rsid w:val="0F924E67"/>
    <w:rsid w:val="10655CF3"/>
    <w:rsid w:val="19024013"/>
    <w:rsid w:val="1C9B12FC"/>
    <w:rsid w:val="1CE95769"/>
    <w:rsid w:val="1F730AA4"/>
    <w:rsid w:val="2C55584A"/>
    <w:rsid w:val="2C6B57F0"/>
    <w:rsid w:val="2D901D4F"/>
    <w:rsid w:val="2E6A74B4"/>
    <w:rsid w:val="2EBA0833"/>
    <w:rsid w:val="2EFF3BF7"/>
    <w:rsid w:val="349C315B"/>
    <w:rsid w:val="373B05AC"/>
    <w:rsid w:val="3DAE0540"/>
    <w:rsid w:val="3FC06CA7"/>
    <w:rsid w:val="41321107"/>
    <w:rsid w:val="414E1341"/>
    <w:rsid w:val="42F06ADE"/>
    <w:rsid w:val="431B31A5"/>
    <w:rsid w:val="44D74780"/>
    <w:rsid w:val="4AF7381F"/>
    <w:rsid w:val="4DEA5F62"/>
    <w:rsid w:val="52121BB5"/>
    <w:rsid w:val="54DF2FCC"/>
    <w:rsid w:val="584E3BED"/>
    <w:rsid w:val="5B7C3DA5"/>
    <w:rsid w:val="618C1A96"/>
    <w:rsid w:val="637F5749"/>
    <w:rsid w:val="66782EA9"/>
    <w:rsid w:val="67706CC4"/>
    <w:rsid w:val="6A9E6E7B"/>
    <w:rsid w:val="6C5164C2"/>
    <w:rsid w:val="71BE49AA"/>
    <w:rsid w:val="724C7A91"/>
    <w:rsid w:val="791E09E7"/>
    <w:rsid w:val="7AB03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kern w:val="0"/>
      <w:sz w:val="24"/>
    </w:rPr>
  </w:style>
  <w:style w:type="character" w:customStyle="1" w:styleId="8">
    <w:name w:val="页眉 Char"/>
    <w:link w:val="4"/>
    <w:uiPriority w:val="0"/>
    <w:rPr>
      <w:kern w:val="2"/>
      <w:sz w:val="18"/>
      <w:szCs w:val="18"/>
    </w:rPr>
  </w:style>
  <w:style w:type="character" w:customStyle="1" w:styleId="9">
    <w:name w:val="页脚 Char"/>
    <w:link w:val="3"/>
    <w:uiPriority w:val="0"/>
    <w:rPr>
      <w:kern w:val="2"/>
      <w:sz w:val="18"/>
      <w:szCs w:val="18"/>
    </w:rPr>
  </w:style>
  <w:style w:type="paragraph" w:customStyle="1" w:styleId="10">
    <w:name w:val="Char"/>
    <w:basedOn w:val="1"/>
    <w:qFormat/>
    <w:uiPriority w:val="0"/>
    <w:pPr>
      <w:widowControl/>
      <w:spacing w:after="160" w:line="240" w:lineRule="exact"/>
      <w:jc w:val="left"/>
    </w:pPr>
    <w:rPr>
      <w:szCs w:val="21"/>
    </w:rPr>
  </w:style>
  <w:style w:type="paragraph" w:customStyle="1" w:styleId="11">
    <w:name w:val="默认段落字体 Para Char"/>
    <w:basedOn w:val="1"/>
    <w:uiPriority w:val="0"/>
    <w:pPr>
      <w:spacing w:beforeLines="50" w:afterLines="50"/>
      <w:jc w:val="left"/>
    </w:pPr>
    <w:rPr>
      <w:sz w:val="3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yjsc</Company>
  <Pages>1</Pages>
  <Words>602</Words>
  <Characters>619</Characters>
  <Lines>4</Lines>
  <Paragraphs>1</Paragraphs>
  <TotalTime>11</TotalTime>
  <ScaleCrop>false</ScaleCrop>
  <LinksUpToDate>false</LinksUpToDate>
  <CharactersWithSpaces>644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2019-07-02T11:12:00Z</dcterms:created>
  <dc:creator>lp</dc:creator>
  <cp:lastModifiedBy>文正东兴</cp:lastModifiedBy>
  <cp:lastPrinted>2021-07-07T03:00:00Z</cp:lastPrinted>
  <dcterms:modified xsi:type="dcterms:W3CDTF">2024-05-29T01:07:25Z</dcterms:modified>
  <dc:title>安徽农业大学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6D52C45C22304D1E9E903D7C251FC76D</vt:lpwstr>
  </property>
</Properties>
</file>